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Arial" w:cs="Arial" w:eastAsia="Arial" w:hAnsi="Arial"/>
          <w:b w:val="1"/>
          <w:i w:val="0"/>
          <w:smallCaps w:val="0"/>
          <w:strike w:val="0"/>
          <w:color w:val="2f5496"/>
          <w:sz w:val="20"/>
          <w:szCs w:val="20"/>
          <w:u w:val="none"/>
          <w:shd w:fill="auto" w:val="clear"/>
          <w:vertAlign w:val="baseline"/>
        </w:rPr>
      </w:pP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1" distB="0" distT="0" distL="0" distR="0" hidden="0" layoutInCell="1" locked="0" relativeHeight="0" simplePos="0">
            <wp:simplePos x="0" y="0"/>
            <wp:positionH relativeFrom="page">
              <wp:posOffset>6038850</wp:posOffset>
            </wp:positionH>
            <wp:positionV relativeFrom="page">
              <wp:posOffset>453390</wp:posOffset>
            </wp:positionV>
            <wp:extent cx="1098952" cy="66912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8952" cy="66912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2128802</wp:posOffset>
            </wp:positionH>
            <wp:positionV relativeFrom="paragraph">
              <wp:posOffset>-549136</wp:posOffset>
            </wp:positionV>
            <wp:extent cx="1228796" cy="1065475"/>
            <wp:effectExtent b="0" l="0" r="0" t="0"/>
            <wp:wrapNone/>
            <wp:docPr descr="Une image contenant texte, Police, jaune, conception&#10;&#10;Description générée automatiquement" id="3" name="image2.jpg"/>
            <a:graphic>
              <a:graphicData uri="http://schemas.openxmlformats.org/drawingml/2006/picture">
                <pic:pic>
                  <pic:nvPicPr>
                    <pic:cNvPr descr="Une image contenant texte, Police, jaune, conception&#10;&#10;Description générée automatiquement" id="0" name="image2.jpg"/>
                    <pic:cNvPicPr preferRelativeResize="0"/>
                  </pic:nvPicPr>
                  <pic:blipFill>
                    <a:blip r:embed="rId8"/>
                    <a:srcRect b="0" l="0" r="0" t="0"/>
                    <a:stretch>
                      <a:fillRect/>
                    </a:stretch>
                  </pic:blipFill>
                  <pic:spPr>
                    <a:xfrm>
                      <a:off x="0" y="0"/>
                      <a:ext cx="1228796" cy="1065475"/>
                    </a:xfrm>
                    <a:prstGeom prst="rect"/>
                    <a:ln/>
                  </pic:spPr>
                </pic:pic>
              </a:graphicData>
            </a:graphic>
          </wp:anchor>
        </w:drawing>
      </w:r>
    </w:p>
    <w:p w:rsidR="00000000" w:rsidDel="00000000" w:rsidP="00000000" w:rsidRDefault="00000000" w:rsidRPr="00000000" w14:paraId="000000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1"/>
          <w:i w:val="0"/>
          <w:smallCaps w:val="0"/>
          <w:strike w:val="0"/>
          <w:color w:val="000000"/>
          <w:sz w:val="34"/>
          <w:szCs w:val="34"/>
          <w:u w:val="none"/>
          <w:shd w:fill="auto" w:val="clear"/>
          <w:vertAlign w:val="baseline"/>
        </w:rPr>
      </w:pPr>
      <w:bookmarkStart w:colFirst="0" w:colLast="0" w:name="_heading=h.k0ue4kn4lznj" w:id="0"/>
      <w:bookmarkEnd w:id="0"/>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Que font les gens de mon entourage?</w:t>
      </w:r>
    </w:p>
    <w:p w:rsidR="00000000" w:rsidDel="00000000" w:rsidP="00000000" w:rsidRDefault="00000000" w:rsidRPr="00000000" w14:paraId="00000003">
      <w:pPr>
        <w:pStyle w:val="Heading1"/>
        <w:spacing w:line="240" w:lineRule="auto"/>
        <w:jc w:val="center"/>
        <w:rPr>
          <w:rFonts w:ascii="Calibri" w:cs="Calibri" w:eastAsia="Calibri" w:hAnsi="Calibri"/>
          <w:b w:val="1"/>
          <w:color w:val="ea8a0a"/>
        </w:rPr>
      </w:pPr>
      <w:r w:rsidDel="00000000" w:rsidR="00000000" w:rsidRPr="00000000">
        <w:rPr>
          <w:rFonts w:ascii="Calibri" w:cs="Calibri" w:eastAsia="Calibri" w:hAnsi="Calibri"/>
          <w:b w:val="1"/>
          <w:color w:val="ea8a0a"/>
        </w:rPr>
        <w:drawing>
          <wp:anchor allowOverlap="1" behindDoc="0" distB="19050" distT="19050" distL="19050" distR="19050" hidden="0" layoutInCell="1" locked="0" relativeHeight="0" simplePos="0">
            <wp:simplePos x="0" y="0"/>
            <wp:positionH relativeFrom="page">
              <wp:posOffset>308610</wp:posOffset>
            </wp:positionH>
            <wp:positionV relativeFrom="page">
              <wp:posOffset>453390</wp:posOffset>
            </wp:positionV>
            <wp:extent cx="1390546" cy="775335"/>
            <wp:effectExtent b="0" l="0" r="0" t="0"/>
            <wp:wrapNone/>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90546" cy="775335"/>
                    </a:xfrm>
                    <a:prstGeom prst="rect"/>
                    <a:ln/>
                  </pic:spPr>
                </pic:pic>
              </a:graphicData>
            </a:graphic>
          </wp:anchor>
        </w:drawing>
      </w:r>
      <w:r w:rsidDel="00000000" w:rsidR="00000000" w:rsidRPr="00000000">
        <w:rPr>
          <w:rFonts w:ascii="Calibri" w:cs="Calibri" w:eastAsia="Calibri" w:hAnsi="Calibri"/>
          <w:b w:val="1"/>
          <w:color w:val="ea8a0a"/>
          <w:rtl w:val="0"/>
        </w:rPr>
        <w:t xml:space="preserve">COSP : Occupation des gens de l’entourage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ea8a0a"/>
          <w:sz w:val="24"/>
          <w:szCs w:val="24"/>
          <w:u w:val="none"/>
          <w:shd w:fill="auto" w:val="clear"/>
          <w:vertAlign w:val="baseline"/>
        </w:rPr>
      </w:pPr>
      <w:r w:rsidDel="00000000" w:rsidR="00000000" w:rsidRPr="00000000">
        <w:rPr>
          <w:rFonts w:ascii="Calibri" w:cs="Calibri" w:eastAsia="Calibri" w:hAnsi="Calibri"/>
          <w:b w:val="1"/>
          <w:i w:val="0"/>
          <w:smallCaps w:val="0"/>
          <w:strike w:val="0"/>
          <w:color w:val="ea8a0a"/>
          <w:sz w:val="24"/>
          <w:szCs w:val="24"/>
          <w:u w:val="none"/>
          <w:shd w:fill="auto" w:val="clear"/>
          <w:vertAlign w:val="baseline"/>
          <w:rtl w:val="0"/>
        </w:rPr>
        <w:t xml:space="preserve">Élaborer une description de l’occupation des gens de son entourage immédiat</w:t>
      </w:r>
      <w:r w:rsidDel="00000000" w:rsidR="00000000" w:rsidRPr="00000000">
        <w:rPr>
          <w:rtl w:val="0"/>
        </w:rPr>
      </w:r>
    </w:p>
    <w:p w:rsidR="00000000" w:rsidDel="00000000" w:rsidP="00000000" w:rsidRDefault="00000000" w:rsidRPr="00000000" w14:paraId="00000005">
      <w:pPr>
        <w:pStyle w:val="Heading1"/>
        <w:jc w:val="center"/>
        <w:rPr/>
      </w:pPr>
      <w:r w:rsidDel="00000000" w:rsidR="00000000" w:rsidRPr="00000000">
        <w:rPr>
          <w:rtl w:val="0"/>
        </w:rPr>
        <w:t xml:space="preserve">Notes au personnel enseignant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Afin de faire vivre l’entièreté du COSP, il est nécessaire de réaliser l’activité préparatoire, la rencontre virtuelle et l’activité de réinvestissement avec les élèves. Si vous choisissez d’adapter ces activités, il est conseillé de consulter le </w:t>
      </w:r>
      <w:hyperlink r:id="rId10">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guide d’accompagnement, la fiche sommaire</w:t>
        </w:r>
      </w:hyperlink>
      <w:hyperlink r:id="rId11">
        <w:r w:rsidDel="00000000" w:rsidR="00000000" w:rsidRPr="00000000">
          <w:rPr>
            <w:rFonts w:ascii="Calibri" w:cs="Calibri" w:eastAsia="Calibri" w:hAnsi="Calibri"/>
            <w:b w:val="0"/>
            <w:i w:val="0"/>
            <w:smallCaps w:val="0"/>
            <w:strike w:val="0"/>
            <w:sz w:val="22"/>
            <w:szCs w:val="22"/>
            <w:highlight w:val="white"/>
            <w:u w:val="single"/>
            <w:vertAlign w:val="baseline"/>
            <w:rtl w:val="0"/>
          </w:rPr>
          <w:t xml:space="preserve"> et</w:t>
        </w:r>
      </w:hyperlink>
      <w:hyperlink r:id="rId12">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 le </w:t>
        </w:r>
      </w:hyperlink>
      <w:hyperlink r:id="rId13">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modèle de base. </w:t>
        </w:r>
      </w:hyperlink>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Activité préparatoire </w:t>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color w:val="2f5496"/>
          <w:sz w:val="26"/>
          <w:szCs w:val="2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diaporama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(diapositives 1 à 6) pour animer l’activité préparatoire.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Il y a des notes au bas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chacune des diapositives afin de faciliter l'animation.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leurs apprentissages.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Rencontre virtuelle</w:t>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color w:val="2f5496"/>
          <w:sz w:val="26"/>
          <w:szCs w:val="26"/>
        </w:rPr>
      </w:pPr>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16">
        <w:r w:rsidDel="00000000" w:rsidR="00000000" w:rsidRPr="00000000">
          <w:rPr>
            <w:rFonts w:ascii="Arial" w:cs="Arial" w:eastAsia="Arial" w:hAnsi="Arial"/>
            <w:b w:val="0"/>
            <w:i w:val="0"/>
            <w:smallCaps w:val="0"/>
            <w:strike w:val="0"/>
            <w:color w:val="1155cc"/>
            <w:sz w:val="21"/>
            <w:szCs w:val="21"/>
            <w:u w:val="single"/>
            <w:shd w:fill="auto" w:val="clear"/>
            <w:vertAlign w:val="baseline"/>
            <w:rtl w:val="0"/>
          </w:rPr>
          <w:t xml:space="preserve">Cliquez ici pour rejoindre la réunion</w:t>
        </w:r>
      </w:hyperlink>
      <w:r w:rsidDel="00000000" w:rsidR="00000000" w:rsidRPr="00000000">
        <w:rPr>
          <w:rtl w:val="0"/>
        </w:rPr>
      </w:r>
    </w:p>
    <w:p w:rsidR="00000000" w:rsidDel="00000000" w:rsidP="00000000" w:rsidRDefault="00000000" w:rsidRPr="00000000" w14:paraId="00000012">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rencontre interclasses aura lieu le </w:t>
      </w:r>
      <w:r w:rsidDel="00000000" w:rsidR="00000000" w:rsidRPr="00000000">
        <w:rPr>
          <w:rtl w:val="0"/>
        </w:rPr>
        <w:t xml:space="preserve">16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janvier à 8h30. La durée prévue est de 45 minutes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t xml:space="preserve">L’animation de la rencontre sera soutenue par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 présentation AhaSlides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Elle correspond aux diapositives 7 à 18 du </w:t>
      </w:r>
      <w:hyperlink r:id="rId1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diaporama. </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widowControl w:val="0"/>
        <w:numPr>
          <w:ilvl w:val="1"/>
          <w:numId w:val="3"/>
        </w:numPr>
        <w:spacing w:after="0" w:line="240" w:lineRule="auto"/>
        <w:ind w:left="1440" w:hanging="360"/>
        <w:jc w:val="both"/>
        <w:rPr>
          <w:u w:val="none"/>
        </w:rPr>
      </w:pPr>
      <w:r w:rsidDel="00000000" w:rsidR="00000000" w:rsidRPr="00000000">
        <w:rPr>
          <w:rFonts w:ascii="Arial" w:cs="Arial" w:eastAsia="Arial" w:hAnsi="Arial"/>
          <w:rtl w:val="0"/>
        </w:rPr>
        <w:t xml:space="preserve">Au cours de la visioconférence, </w:t>
      </w:r>
      <w:r w:rsidDel="00000000" w:rsidR="00000000" w:rsidRPr="00000000">
        <w:rPr>
          <w:rFonts w:ascii="Times New Roman" w:cs="Times New Roman" w:eastAsia="Times New Roman" w:hAnsi="Times New Roman"/>
          <w:highlight w:val="white"/>
          <w:rtl w:val="0"/>
        </w:rPr>
        <w:t xml:space="preserve">des questions seront posées à vos élèves et les réponses se feront à partir d'un questionnaire collaboratif en ligne (AhaSlides). Vous pourrez partager les réponses de vos élèves en direct en ouvrant une autre fenêtre sur votre ordinateur ou en utilisant tout autre appareil électronique.  Ce sera très intéressant de voir  les réponses s'afficher en temps ré</w:t>
      </w:r>
      <w:r w:rsidDel="00000000" w:rsidR="00000000" w:rsidRPr="00000000">
        <w:rPr>
          <w:rFonts w:ascii="Times New Roman" w:cs="Times New Roman" w:eastAsia="Times New Roman" w:hAnsi="Times New Roman"/>
          <w:sz w:val="24"/>
          <w:szCs w:val="24"/>
          <w:highlight w:val="white"/>
          <w:rtl w:val="0"/>
        </w:rPr>
        <w:t xml:space="preserve">el.  Si vous avez des tablettes en nombre suffisant, vos élèves pourraient répondre individuellement ou encore être placés en équipe. </w:t>
      </w:r>
    </w:p>
    <w:p w:rsidR="00000000" w:rsidDel="00000000" w:rsidP="00000000" w:rsidRDefault="00000000" w:rsidRPr="00000000" w14:paraId="00000016">
      <w:pPr>
        <w:widowControl w:val="0"/>
        <w:spacing w:after="0" w:line="24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7">
      <w:pPr>
        <w:widowControl w:val="0"/>
        <w:spacing w:after="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code QR sera affiché au début de la rencontre, mais si vous souhaitez préparer les portables ou les tablettes à l’avance, vous pouvez utiliser ce lien ou ce code QR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8">
        <w:r w:rsidDel="00000000" w:rsidR="00000000" w:rsidRPr="00000000">
          <w:rPr>
            <w:color w:val="1155cc"/>
            <w:u w:val="single"/>
            <w:rtl w:val="0"/>
          </w:rPr>
          <w:t xml:space="preserve">https://ahaslides.com/LJTC1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both"/>
        <w:rPr/>
      </w:pPr>
      <w:r w:rsidDel="00000000" w:rsidR="00000000" w:rsidRPr="00000000">
        <w:rPr/>
        <w:drawing>
          <wp:inline distB="114300" distT="114300" distL="114300" distR="114300">
            <wp:extent cx="957263" cy="957263"/>
            <wp:effectExtent b="0" l="0" r="0" t="0"/>
            <wp:docPr id="1"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957263"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bref retour sur le COSP, la stratégie d’apprentissage, le résultat attendu et l’activité préparatoire sera fait. Puis, </w:t>
      </w:r>
      <w:r w:rsidDel="00000000" w:rsidR="00000000" w:rsidRPr="00000000">
        <w:rPr>
          <w:rtl w:val="0"/>
        </w:rPr>
        <w:t xml:space="preserve">une modélisation des stratégies qui permettront aux élèves d’élaborer une description de l’occupation de personnes de leur entourage sera faite en compagnie de </w:t>
      </w:r>
      <w:r w:rsidDel="00000000" w:rsidR="00000000" w:rsidRPr="00000000">
        <w:rPr>
          <w:rFonts w:ascii="Arial" w:cs="Arial" w:eastAsia="Arial" w:hAnsi="Arial"/>
          <w:rtl w:val="0"/>
        </w:rPr>
        <w:t xml:space="preserve">Monsieur Jasmin Roy, Chef aux opérations du service de sécurité incendie à la ville de Rimouski.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highlight w:val="yellow"/>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r w:rsidDel="00000000" w:rsidR="00000000" w:rsidRPr="00000000">
        <w:rPr>
          <w:rFonts w:ascii="Calibri" w:cs="Calibri" w:eastAsia="Calibri" w:hAnsi="Calibri"/>
          <w:b w:val="0"/>
          <w:i w:val="0"/>
          <w:smallCaps w:val="0"/>
          <w:strike w:val="0"/>
          <w:sz w:val="22"/>
          <w:szCs w:val="22"/>
          <w:shd w:fill="auto" w:val="clear"/>
          <w:vertAlign w:val="baseline"/>
          <w:rtl w:val="0"/>
        </w:rPr>
        <w:t xml:space="preserve">cahier de l’élève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l’apprentissage disponible sur le</w:t>
      </w:r>
      <w:hyperlink r:id="rId2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Padlet.</w:t>
        </w:r>
      </w:hyperlink>
      <w:r w:rsidDel="00000000" w:rsidR="00000000" w:rsidRPr="00000000">
        <w:rPr>
          <w:rtl w:val="0"/>
        </w:rPr>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Activité de réinvestissement</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color w:val="2f5496"/>
          <w:sz w:val="26"/>
          <w:szCs w:val="2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w:t>
      </w:r>
      <w:hyperlink r:id="rId2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diaporama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(diapositives 19 à 25) dispon</w:t>
      </w:r>
      <w:r w:rsidDel="00000000" w:rsidR="00000000" w:rsidRPr="00000000">
        <w:rPr>
          <w:rtl w:val="0"/>
        </w:rPr>
        <w:t xml:space="preserve">ible sur le padlet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pour animer l’activité de réinvestissement.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Des notes sous chacune des </w:t>
      </w:r>
      <w:r w:rsidDel="00000000" w:rsidR="00000000" w:rsidRPr="00000000">
        <w:rPr>
          <w:color w:val="333333"/>
          <w:rtl w:val="0"/>
        </w:rPr>
        <w:t xml:space="preserve">diapositives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vous mentionnent les apprentissages à faire vivre aux élèves.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color w:val="333333"/>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L’activité de réinvestissement est séparée en deux périodes.</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Dans un premier temps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élèves choisissent quelles personnes de leur entourage ils souhaitent interviewer et préparent les entrevues.</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Ensuite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ils élaborent la description de l’occupation de ces personnes et répondent aux questions d’intégration. Les descriptions servir</w:t>
      </w:r>
      <w:r w:rsidDel="00000000" w:rsidR="00000000" w:rsidRPr="00000000">
        <w:rPr>
          <w:rtl w:val="0"/>
        </w:rPr>
        <w:t xml:space="preserve">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créer un « mur des occupations ». Pour cette étape, à titre suggestif, il est possible d’utiliser la</w:t>
      </w:r>
      <w:hyperlink r:id="rId2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fiche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 de créer un Padlet pour la classe.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2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l’apprentissage.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rPr/>
      </w:pPr>
      <w:r w:rsidDel="00000000" w:rsidR="00000000" w:rsidRPr="00000000">
        <w:rPr>
          <w:rtl w:val="0"/>
        </w:rPr>
        <w:t xml:space="preserve">Responsable de l’activité:</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rPr/>
      </w:pPr>
      <w:r w:rsidDel="00000000" w:rsidR="00000000" w:rsidRPr="00000000">
        <w:rPr>
          <w:rtl w:val="0"/>
        </w:rPr>
        <w:t xml:space="preserve">Denise LeBlanc</w:t>
      </w:r>
    </w:p>
    <w:p w:rsidR="00000000" w:rsidDel="00000000" w:rsidP="00000000" w:rsidRDefault="00000000" w:rsidRPr="00000000" w14:paraId="0000002A">
      <w:pPr>
        <w:pStyle w:val="Heading2"/>
        <w:rPr/>
      </w:pPr>
      <w:bookmarkStart w:colFirst="0" w:colLast="0" w:name="_heading=h.9uzddu7hxa4o" w:id="1"/>
      <w:bookmarkEnd w:id="1"/>
      <w:hyperlink r:id="rId24">
        <w:r w:rsidDel="00000000" w:rsidR="00000000" w:rsidRPr="00000000">
          <w:rPr>
            <w:color w:val="1155cc"/>
            <w:u w:val="single"/>
            <w:rtl w:val="0"/>
          </w:rPr>
          <w:t xml:space="preserve">denise.leblanc@cssphares.gouv.qc.ca</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footerReference r:id="rId25" w:type="default"/>
      <w:pgSz w:h="15840" w:w="12240" w:orient="portrait"/>
      <w:pgMar w:bottom="284"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padlet.com/padeer/cosp-occupation-des-gens-de-l-entourage-cpx2rmpb9pp14ikq" TargetMode="External"/><Relationship Id="rId22" Type="http://schemas.openxmlformats.org/officeDocument/2006/relationships/hyperlink" Target="https://padlet.com/padeer/cosp-occupation-des-gens-de-l-entourage-cpx2rmpb9pp14ikq?token=QkFoN0J6b01jR0Y1Ykc5aFpIc0lPZ3h3ZFhKd2IzTmxTU0lTYzNWeVptRmpaVjkwYjJ0bGJnWTZCa1ZVT2d4MlpYSnphVzl1U1NJR01nWTdCMVE2REhWelpYSmZhV1JzS3dlUWNZeHdPZzlsZUhCcGNtVnpYMkYwVlRvZ1FXTjBhWFpsVTNWd2NHOXlkRG82VkdsdFpWZHBkR2hhYjI1bFd3aEpkVG9KVkdsdFpRMFE2UjdBNTNnbkJBazZDWHB2Ym1WSklnaFZWRU1HT3dkR09nMXVZVzV2WDI1MWJXa0M0Z0k2RFc1aGJtOWZaR1Z1YVFZNkRYTjFZbTFwWTNKdklnZHpnRWtpQ0ZWVVF3WTdCMVJKZFRzTURSRHBIc0RuZUNjRUNUc05RQXc3RG1rQzRnSTdEMmtHT3hBaUIzT0EtLWZlZWIwNmEyMmI5OWY2N2U3MTBmOTA3OWRkM2JkNmM1MjcxZWJjN2Q-&amp;signature=1fd574e06a9685b76fb9a2b94e0f32d1" TargetMode="External"/><Relationship Id="rId21" Type="http://schemas.openxmlformats.org/officeDocument/2006/relationships/hyperlink" Target="https://padlet.com/padeer/cosp-occupation-des-gens-de-l-entourage-cpx2rmpb9pp14ikq" TargetMode="External"/><Relationship Id="rId24" Type="http://schemas.openxmlformats.org/officeDocument/2006/relationships/hyperlink" Target="mailto:denise.leblanc@cssphares.gouv.qc.ca" TargetMode="External"/><Relationship Id="rId23" Type="http://schemas.openxmlformats.org/officeDocument/2006/relationships/hyperlink" Target="https://padlet.com/padeer/cosp-occupation-des-gens-de-l-entourage-cpx2rmpb9pp14ik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 Id="rId11" Type="http://schemas.openxmlformats.org/officeDocument/2006/relationships/hyperlink" Target="https://padlet.com/padeer/cosp-occupation-des-gens-de-l-entourage-cpx2rmpb9pp14ikq?token=QkFoN0J6b01jR0Y1Ykc5aFpIc0lPZ3h3ZFhKd2IzTmxTU0lTYzNWeVptRmpaVjkwYjJ0bGJnWTZCa1ZVT2d4MlpYSnphVzl1U1NJR01nWTdCMVE2REhWelpYSmZhV1JzS3dlUWNZeHdPZzlsZUhCcGNtVnpYMkYwVlRvZ1FXTjBhWFpsVTNWd2NHOXlkRG82VkdsdFpWZHBkR2hhYjI1bFd3aEpkVG9KVkdsdFpRMFE2UjdBNTNnbkJBazZDWHB2Ym1WSklnaFZWRU1HT3dkR09nMXVZVzV2WDI1MWJXa0M0Z0k2RFc1aGJtOWZaR1Z1YVFZNkRYTjFZbTFwWTNKdklnZHpnRWtpQ0ZWVVF3WTdCMVJKZFRzTURSRHBIc0RuZUNjRUNUc05RQXc3RG1rQzRnSTdEMmtHT3hBaUIzT0EtLWZlZWIwNmEyMmI5OWY2N2U3MTBmOTA3OWRkM2JkNmM1MjcxZWJjN2Q-&amp;signature=1fd574e06a9685b76fb9a2b94e0f32d1" TargetMode="External"/><Relationship Id="rId10" Type="http://schemas.openxmlformats.org/officeDocument/2006/relationships/hyperlink" Target="https://padlet.com/padeer/cosp-occupation-des-gens-de-l-entourage-cpx2rmpb9pp14ikq?token=QkFoN0J6b01jR0Y1Ykc5aFpIc0lPZ3h3ZFhKd2IzTmxTU0lTYzNWeVptRmpaVjkwYjJ0bGJnWTZCa1ZVT2d4MlpYSnphVzl1U1NJR01nWTdCMVE2REhWelpYSmZhV1JzS3dlUWNZeHdPZzlsZUhCcGNtVnpYMkYwVlRvZ1FXTjBhWFpsVTNWd2NHOXlkRG82VkdsdFpWZHBkR2hhYjI1bFd3aEpkVG9KVkdsdFpRMFE2UjdBNTNnbkJBazZDWHB2Ym1WSklnaFZWRU1HT3dkR09nMXVZVzV2WDI1MWJXa0M0Z0k2RFc1aGJtOWZaR1Z1YVFZNkRYTjFZbTFwWTNKdklnZHpnRWtpQ0ZWVVF3WTdCMVJKZFRzTURSRHBIc0RuZUNjRUNUc05RQXc3RG1rQzRnSTdEMmtHT3hBaUIzT0EtLWZlZWIwNmEyMmI5OWY2N2U3MTBmOTA3OWRkM2JkNmM1MjcxZWJjN2Q-&amp;signature=1fd574e06a9685b76fb9a2b94e0f32d1" TargetMode="External"/><Relationship Id="rId13" Type="http://schemas.openxmlformats.org/officeDocument/2006/relationships/hyperlink" Target="https://padlet.com/padeer/cosp-occupation-des-gens-de-l-entourage-cpx2rmpb9pp14ikq?token=QkFoN0J6b01jR0Y1Ykc5aFpIc0lPZ3h3ZFhKd2IzTmxTU0lTYzNWeVptRmpaVjkwYjJ0bGJnWTZCa1ZVT2d4MlpYSnphVzl1U1NJR01nWTdCMVE2REhWelpYSmZhV1JzS3dlUWNZeHdPZzlsZUhCcGNtVnpYMkYwVlRvZ1FXTjBhWFpsVTNWd2NHOXlkRG82VkdsdFpWZHBkR2hhYjI1bFd3aEpkVG9KVkdsdFpRMFE2UjdBNTNnbkJBazZDWHB2Ym1WSklnaFZWRU1HT3dkR09nMXVZVzV2WDI1MWJXa0M0Z0k2RFc1aGJtOWZaR1Z1YVFZNkRYTjFZbTFwWTNKdklnZHpnRWtpQ0ZWVVF3WTdCMVJKZFRzTURSRHBIc0RuZUNjRUNUc05RQXc3RG1rQzRnSTdEMmtHT3hBaUIzT0EtLWZlZWIwNmEyMmI5OWY2N2U3MTBmOTA3OWRkM2JkNmM1MjcxZWJjN2Q-&amp;signature=1fd574e06a9685b76fb9a2b94e0f32d1" TargetMode="External"/><Relationship Id="rId12" Type="http://schemas.openxmlformats.org/officeDocument/2006/relationships/hyperlink" Target="https://padlet.com/padeer/cosp-occupation-des-gens-de-l-entourage-cpx2rmpb9pp14ikq?token=QkFoN0J6b01jR0Y1Ykc5aFpIc0lPZ3h3ZFhKd2IzTmxTU0lTYzNWeVptRmpaVjkwYjJ0bGJnWTZCa1ZVT2d4MlpYSnphVzl1U1NJR01nWTdCMVE2REhWelpYSmZhV1JzS3dlUWNZeHdPZzlsZUhCcGNtVnpYMkYwVlRvZ1FXTjBhWFpsVTNWd2NHOXlkRG82VkdsdFpWZHBkR2hhYjI1bFd3aEpkVG9KVkdsdFpRMFE2UjdBNTNnbkJBazZDWHB2Ym1WSklnaFZWRU1HT3dkR09nMXVZVzV2WDI1MWJXa0M0Z0k2RFc1aGJtOWZaR1Z1YVFZNkRYTjFZbTFwWTNKdklnZHpnRWtpQ0ZWVVF3WTdCMVJKZFRzTURSRHBIc0RuZUNjRUNUc05RQXc3RG1rQzRnSTdEMmtHT3hBaUIzT0EtLWZlZWIwNmEyMmI5OWY2N2U3MTBmOTA3OWRkM2JkNmM1MjcxZWJjN2Q-&amp;signature=1fd574e06a9685b76fb9a2b94e0f32d1" TargetMode="External"/><Relationship Id="rId15" Type="http://schemas.openxmlformats.org/officeDocument/2006/relationships/hyperlink" Target="https://padlet.com/padeer/cosp-occupation-des-gens-de-l-entourage-cpx2rmpb9pp14ikq?token=QkFoN0J6b01jR0Y1Ykc5aFpIc0lPZ3h3ZFhKd2IzTmxTU0lTYzNWeVptRmpaVjkwYjJ0bGJnWTZCa1ZVT2d4MlpYSnphVzl1U1NJR01nWTdCMVE2REhWelpYSmZhV1JzS3dlUWNZeHdPZzlsZUhCcGNtVnpYMkYwVlRvZ1FXTjBhWFpsVTNWd2NHOXlkRG82VkdsdFpWZHBkR2hhYjI1bFd3aEpkVG9KVkdsdFpRMFE2UjdBNTNnbkJBazZDWHB2Ym1WSklnaFZWRU1HT3dkR09nMXVZVzV2WDI1MWJXa0M0Z0k2RFc1aGJtOWZaR1Z1YVFZNkRYTjFZbTFwWTNKdklnZHpnRWtpQ0ZWVVF3WTdCMVJKZFRzTURSRHBIc0RuZUNjRUNUc05RQXc3RG1rQzRnSTdEMmtHT3hBaUIzT0EtLWZlZWIwNmEyMmI5OWY2N2U3MTBmOTA3OWRkM2JkNmM1MjcxZWJjN2Q-&amp;signature=1fd574e06a9685b76fb9a2b94e0f32d1" TargetMode="External"/><Relationship Id="rId14" Type="http://schemas.openxmlformats.org/officeDocument/2006/relationships/hyperlink" Target="https://padlet.com/padeer/cosp-occupation-des-gens-de-l-entourage-cpx2rmpb9pp14ikq?token=QkFoN0J6b01jR0Y1Ykc5aFpIc0lPZ3h3ZFhKd2IzTmxTU0lTYzNWeVptRmpaVjkwYjJ0bGJnWTZCa1ZVT2d4MlpYSnphVzl1U1NJR01nWTdCMVE2REhWelpYSmZhV1JzS3dlUWNZeHdPZzlsZUhCcGNtVnpYMkYwVlRvZ1FXTjBhWFpsVTNWd2NHOXlkRG82VkdsdFpWZHBkR2hhYjI1bFd3aEpkVG9KVkdsdFpRMFE2UjdBNTNnbkJBazZDWHB2Ym1WSklnaFZWRU1HT3dkR09nMXVZVzV2WDI1MWJXa0M0Z0k2RFc1aGJtOWZaR1Z1YVFZNkRYTjFZbTFwWTNKdklnZHpnRWtpQ0ZWVVF3WTdCMVJKZFRzTURSRHBIc0RuZUNjRUNUc05RQXc3RG1rQzRnSTdEMmtHT3hBaUIzT0EtLWZlZWIwNmEyMmI5OWY2N2U3MTBmOTA3OWRkM2JkNmM1MjcxZWJjN2Q-&amp;signature=1fd574e06a9685b76fb9a2b94e0f32d1" TargetMode="External"/><Relationship Id="rId17" Type="http://schemas.openxmlformats.org/officeDocument/2006/relationships/hyperlink" Target="https://padlet.com/padeer/cosp-occupation-des-gens-de-l-entourage-cpx2rmpb9pp14ikq?token=QkFoN0J6b01jR0Y1Ykc5aFpIc0lPZ3h3ZFhKd2IzTmxTU0lTYzNWeVptRmpaVjkwYjJ0bGJnWTZCa1ZVT2d4MlpYSnphVzl1U1NJR01nWTdCMVE2REhWelpYSmZhV1JzS3dlUWNZeHdPZzlsZUhCcGNtVnpYMkYwVlRvZ1FXTjBhWFpsVTNWd2NHOXlkRG82VkdsdFpWZHBkR2hhYjI1bFd3aEpkVG9KVkdsdFpRMFE2UjdBNTNnbkJBazZDWHB2Ym1WSklnaFZWRU1HT3dkR09nMXVZVzV2WDI1MWJXa0M0Z0k2RFc1aGJtOWZaR1Z1YVFZNkRYTjFZbTFwWTNKdklnZHpnRWtpQ0ZWVVF3WTdCMVJKZFRzTURSRHBIc0RuZUNjRUNUc05RQXc3RG1rQzRnSTdEMmtHT3hBaUIzT0EtLWZlZWIwNmEyMmI5OWY2N2U3MTBmOTA3OWRkM2JkNmM1MjcxZWJjN2Q-&amp;signature=1fd574e06a9685b76fb9a2b94e0f32d1" TargetMode="External"/><Relationship Id="rId16" Type="http://schemas.openxmlformats.org/officeDocument/2006/relationships/hyperlink" Target="https://teams.microsoft.com/l/meetup-join/19%3ameeting_ODllZGNmNTktNTFiZS00NGRiLWE1YmMtNTlmN2NiODNjZGUy%40thread.v2/0?context=%7b%22Tid%22%3a%220f98dc88-9217-470e-8109-89258d413dcf%22%2c%22Oid%22%3a%229977bc69-efba-4828-b600-81debd0f1ad7%22%7d" TargetMode="External"/><Relationship Id="rId19" Type="http://schemas.openxmlformats.org/officeDocument/2006/relationships/image" Target="media/image3.png"/><Relationship Id="rId18" Type="http://schemas.openxmlformats.org/officeDocument/2006/relationships/hyperlink" Target="https://ahaslides.com/LJTC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FzBSfuTuvnJfHXYz4GDcgxcA==">CgMxLjAyDmguazB1ZTRrbjRsem5qMg5oLjl1emRkdTdoeGE0bzgAciExclZJMG5VX3YtODhsSTZsM080a2VxaHZRZkdkcF9KSmw=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